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sz w:val="34"/>
          <w:szCs w:val="3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Innovate—Collaborate—Rejuvenate: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Adapting and Evolving as an HPE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bookmarkStart w:colFirst="0" w:colLast="0" w:name="_8hkpf3jtitj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2et92p0" w:id="3"/>
      <w:bookmarkEnd w:id="3"/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SHAPE America Vision: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tyjcwt" w:id="4"/>
      <w:bookmarkEnd w:id="4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nation where all children are prepared to lead healthy, physically active lives.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3dy6vk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1t3h5sf" w:id="6"/>
      <w:bookmarkEnd w:id="6"/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SHAPE America Mission: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4d34og8" w:id="7"/>
      <w:bookmarkEnd w:id="7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 advance professional practice and promote research related to health and physical education, physical activity, dance, and sport.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2s8eyo1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26in1rg" w:id="9"/>
      <w:bookmarkEnd w:id="9"/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Southern District Mission: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mission of SHAPE Southern District is to provide programs, resources, and services that support the efforts of health and physical education professionals charged with promoting healthy, active lifestyles.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SHAPE Southern Action Plan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Goal 1: Foster and Embody Fairness, Respect, and Opportunity for All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Goal 2: Provide Professional Develo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ment and Mentorship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Goal 3: Strengthen State Relationships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We will strive to achieve these goals through: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Social media outreach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Southern District newsletter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Hosting virtual professional developments and social events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Amplifying state associations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Sharing of timely resources between state leadership and associations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Promoting leadership opportunities in both state associations and the Southern District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680"/>
        <w:tab w:val="right" w:leader="none" w:pos="9360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b w:val="1"/>
        <w:i w:val="1"/>
      </w:rPr>
      <w:drawing>
        <wp:inline distB="114300" distT="114300" distL="114300" distR="114300">
          <wp:extent cx="3168650" cy="110741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575" l="0" r="0" t="17575"/>
                  <a:stretch>
                    <a:fillRect/>
                  </a:stretch>
                </pic:blipFill>
                <pic:spPr>
                  <a:xfrm>
                    <a:off x="0" y="0"/>
                    <a:ext cx="3168650" cy="11074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